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56AB" w14:textId="77777777" w:rsid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b/>
          <w:bCs/>
          <w:sz w:val="24"/>
          <w:szCs w:val="24"/>
        </w:rPr>
        <w:t>Allgemein</w:t>
      </w:r>
      <w:r w:rsidRPr="0010048F">
        <w:rPr>
          <w:rFonts w:ascii="Arial" w:hAnsi="Arial" w:cs="Arial"/>
          <w:sz w:val="24"/>
          <w:szCs w:val="24"/>
        </w:rPr>
        <w:t>:</w:t>
      </w:r>
    </w:p>
    <w:p w14:paraId="7A312CC7" w14:textId="77777777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</w:p>
    <w:p w14:paraId="02940413" w14:textId="4B8FC49B" w:rsid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Welche methodisch-didaktischen Entscheidungen treffen Sie für diese Stunde vor dem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 xml:space="preserve">Hintergrund der </w:t>
      </w:r>
      <w:r w:rsidRPr="0010048F">
        <w:rPr>
          <w:rFonts w:ascii="Arial" w:hAnsi="Arial" w:cs="Arial"/>
          <w:b/>
          <w:bCs/>
          <w:sz w:val="24"/>
          <w:szCs w:val="24"/>
        </w:rPr>
        <w:t>Lernausgangslage</w:t>
      </w:r>
      <w:r w:rsidRPr="0010048F">
        <w:rPr>
          <w:rFonts w:ascii="Arial" w:hAnsi="Arial" w:cs="Arial"/>
          <w:sz w:val="24"/>
          <w:szCs w:val="24"/>
        </w:rPr>
        <w:t xml:space="preserve"> der Lernenden und der gegebenen </w:t>
      </w:r>
      <w:r w:rsidRPr="0010048F">
        <w:rPr>
          <w:rFonts w:ascii="Arial" w:hAnsi="Arial" w:cs="Arial"/>
          <w:b/>
          <w:bCs/>
          <w:sz w:val="24"/>
          <w:szCs w:val="24"/>
        </w:rPr>
        <w:t>Rahmenbedingungen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(Halle, Material, Medienverfügbarkeit,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…)</w:t>
      </w:r>
    </w:p>
    <w:p w14:paraId="1E22259C" w14:textId="036D009B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in den</w:t>
      </w:r>
      <w:r w:rsidRPr="001004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 xml:space="preserve">Bereichen: </w:t>
      </w:r>
      <w:r w:rsidRPr="0010048F">
        <w:rPr>
          <w:rFonts w:ascii="Arial" w:hAnsi="Arial" w:cs="Arial"/>
          <w:b/>
          <w:bCs/>
          <w:sz w:val="24"/>
          <w:szCs w:val="24"/>
        </w:rPr>
        <w:t>Sicherheit, Bewegungszeit</w:t>
      </w:r>
      <w:r w:rsidRPr="0010048F">
        <w:rPr>
          <w:rFonts w:ascii="Arial" w:hAnsi="Arial" w:cs="Arial"/>
          <w:sz w:val="24"/>
          <w:szCs w:val="24"/>
        </w:rPr>
        <w:t xml:space="preserve">, + </w:t>
      </w:r>
      <w:r w:rsidRPr="0010048F">
        <w:rPr>
          <w:rFonts w:ascii="Arial" w:hAnsi="Arial" w:cs="Arial"/>
          <w:b/>
          <w:bCs/>
          <w:sz w:val="24"/>
          <w:szCs w:val="24"/>
        </w:rPr>
        <w:t>KO</w:t>
      </w:r>
    </w:p>
    <w:p w14:paraId="4D98D9B5" w14:textId="579719EA" w:rsidR="0010048F" w:rsidRPr="0010048F" w:rsidRDefault="0010048F" w:rsidP="0010048F">
      <w:pPr>
        <w:pStyle w:val="p1"/>
        <w:tabs>
          <w:tab w:val="left" w:pos="7513"/>
        </w:tabs>
        <w:ind w:right="1128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(Selbststeuerung, PO,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Stärkenorientierung,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Individualisierung/Differenzierung, Strategien des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 xml:space="preserve">Lernens/Reflexivität), um einen möglichst </w:t>
      </w:r>
      <w:r w:rsidRPr="0010048F">
        <w:rPr>
          <w:rFonts w:ascii="Arial" w:hAnsi="Arial" w:cs="Arial"/>
          <w:b/>
          <w:bCs/>
          <w:sz w:val="24"/>
          <w:szCs w:val="24"/>
        </w:rPr>
        <w:t>qualitativ</w:t>
      </w:r>
      <w:r w:rsidRPr="0010048F"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b/>
          <w:bCs/>
          <w:sz w:val="24"/>
          <w:szCs w:val="24"/>
        </w:rPr>
        <w:t>hohen</w:t>
      </w:r>
      <w:r w:rsidRPr="0010048F"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b/>
          <w:bCs/>
          <w:sz w:val="24"/>
          <w:szCs w:val="24"/>
        </w:rPr>
        <w:t>Lernertrag</w:t>
      </w:r>
      <w:r w:rsidRPr="0010048F">
        <w:rPr>
          <w:rFonts w:ascii="Arial" w:hAnsi="Arial" w:cs="Arial"/>
          <w:sz w:val="24"/>
          <w:szCs w:val="24"/>
        </w:rPr>
        <w:t xml:space="preserve"> (durch eine fundierte</w:t>
      </w:r>
    </w:p>
    <w:p w14:paraId="7BE4C513" w14:textId="77777777" w:rsid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b/>
          <w:bCs/>
          <w:sz w:val="24"/>
          <w:szCs w:val="24"/>
        </w:rPr>
        <w:t xml:space="preserve">Sachanalyse zum SPLZ) </w:t>
      </w:r>
      <w:r w:rsidRPr="0010048F">
        <w:rPr>
          <w:rFonts w:ascii="Arial" w:hAnsi="Arial" w:cs="Arial"/>
          <w:sz w:val="24"/>
          <w:szCs w:val="24"/>
        </w:rPr>
        <w:t>zu erreichen?</w:t>
      </w:r>
    </w:p>
    <w:p w14:paraId="4955410D" w14:textId="5A907797" w:rsid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Häufig weitere interessante Themen: Möglichkeiten der Mitgestaltung/</w:t>
      </w:r>
      <w:r w:rsidRPr="0010048F">
        <w:rPr>
          <w:rFonts w:ascii="Arial" w:hAnsi="Arial" w:cs="Arial"/>
          <w:sz w:val="24"/>
          <w:szCs w:val="24"/>
          <w:u w:val="single"/>
        </w:rPr>
        <w:t>Partizipation</w:t>
      </w:r>
      <w:r>
        <w:rPr>
          <w:rFonts w:ascii="Arial" w:hAnsi="Arial" w:cs="Arial"/>
          <w:sz w:val="24"/>
          <w:szCs w:val="24"/>
        </w:rPr>
        <w:t xml:space="preserve">, </w:t>
      </w:r>
      <w:r w:rsidRPr="0010048F">
        <w:rPr>
          <w:rFonts w:ascii="Arial" w:hAnsi="Arial" w:cs="Arial"/>
          <w:sz w:val="24"/>
          <w:szCs w:val="24"/>
          <w:u w:val="single"/>
        </w:rPr>
        <w:t>Gruppenbildungsprozesse</w:t>
      </w:r>
      <w:r>
        <w:rPr>
          <w:rFonts w:ascii="Arial" w:hAnsi="Arial" w:cs="Arial"/>
          <w:sz w:val="24"/>
          <w:szCs w:val="24"/>
        </w:rPr>
        <w:t xml:space="preserve">, </w:t>
      </w:r>
      <w:r w:rsidRPr="0010048F">
        <w:rPr>
          <w:rFonts w:ascii="Arial" w:hAnsi="Arial" w:cs="Arial"/>
          <w:sz w:val="24"/>
          <w:szCs w:val="24"/>
          <w:u w:val="single"/>
        </w:rPr>
        <w:t>Auswahl der Stationen oder Übungen</w:t>
      </w:r>
      <w:r>
        <w:rPr>
          <w:rFonts w:ascii="Arial" w:hAnsi="Arial" w:cs="Arial"/>
          <w:sz w:val="24"/>
          <w:szCs w:val="24"/>
        </w:rPr>
        <w:t xml:space="preserve"> (z.B. in Passung zur Lerngruppe und zu den Rahmenbedingungen), Differenzierungen für „besondere“ Kinder, ...</w:t>
      </w:r>
    </w:p>
    <w:p w14:paraId="7ED44F3E" w14:textId="77777777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</w:p>
    <w:p w14:paraId="619AE63C" w14:textId="69202300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b/>
          <w:bCs/>
          <w:sz w:val="24"/>
          <w:szCs w:val="24"/>
        </w:rPr>
        <w:t>Sachanalyse</w:t>
      </w:r>
      <w:r w:rsidRPr="0010048F">
        <w:rPr>
          <w:rFonts w:ascii="Arial" w:hAnsi="Arial" w:cs="Arial"/>
          <w:sz w:val="24"/>
          <w:szCs w:val="24"/>
        </w:rPr>
        <w:t>: Um einen Gegenstand qualitativ hochwertig zu vermitteln, muss man ihn auf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der Sachebene vollständig analysieren und verstanden haben. Beispiele: will ich eine offene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oder geschlossene Fertigkeit vermitteln? Welche Knotenpunkte in der Bewegung sind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unabdingbar wichtig, welche zweitrangig? Was kann induktiv vermittelt werden, was muss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(trotzdem!) als Input durch die Lehrkraft vermittelt/gesteuert werden? Was müssen die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 xml:space="preserve">Lernenden z.B. zu einer Gruppentaktik im Vorfeld wissen und können? </w:t>
      </w:r>
    </w:p>
    <w:p w14:paraId="55AE21F4" w14:textId="3DE2F76F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(Ohne das Erlernen</w:t>
      </w:r>
      <w:r w:rsidRPr="0010048F"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von Individualtaktiken und Techniken im Vorfeld, können Lernende keine fundierten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Gruppentaktiken entwickeln und beurteilen – sondern nur die einzelne Vereinskinder!!)</w:t>
      </w:r>
    </w:p>
    <w:p w14:paraId="43DB3741" w14:textId="4510BFD2" w:rsidR="0010048F" w:rsidRDefault="0010048F" w:rsidP="0010048F">
      <w:pPr>
        <w:pStyle w:val="p1"/>
        <w:rPr>
          <w:rFonts w:ascii="Arial" w:hAnsi="Arial" w:cs="Arial"/>
          <w:b/>
          <w:bCs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 xml:space="preserve">Stellen Sie Ihre antizipierten Ergebnisse auf quantitativ und </w:t>
      </w:r>
      <w:r w:rsidRPr="0010048F">
        <w:rPr>
          <w:rFonts w:ascii="Arial" w:hAnsi="Arial" w:cs="Arial"/>
          <w:b/>
          <w:bCs/>
          <w:sz w:val="24"/>
          <w:szCs w:val="24"/>
        </w:rPr>
        <w:t xml:space="preserve">qualitativ </w:t>
      </w:r>
      <w:r w:rsidRPr="0010048F">
        <w:rPr>
          <w:rFonts w:ascii="Arial" w:hAnsi="Arial" w:cs="Arial"/>
          <w:sz w:val="24"/>
          <w:szCs w:val="24"/>
        </w:rPr>
        <w:t>unterschiedlichen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Ebenen dar</w:t>
      </w:r>
      <w:r w:rsidRPr="0010048F">
        <w:rPr>
          <w:rFonts w:ascii="Arial" w:hAnsi="Arial" w:cs="Arial"/>
          <w:b/>
          <w:bCs/>
          <w:sz w:val="24"/>
          <w:szCs w:val="24"/>
        </w:rPr>
        <w:t>.</w:t>
      </w:r>
    </w:p>
    <w:p w14:paraId="0245FCB9" w14:textId="77777777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</w:p>
    <w:p w14:paraId="67F90A8E" w14:textId="5848D7F5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b/>
          <w:bCs/>
          <w:sz w:val="24"/>
          <w:szCs w:val="24"/>
        </w:rPr>
        <w:t>Grundsätzlich zur Stundenplanung</w:t>
      </w:r>
      <w:r w:rsidRPr="0010048F">
        <w:rPr>
          <w:rFonts w:ascii="Arial" w:hAnsi="Arial" w:cs="Arial"/>
          <w:sz w:val="24"/>
          <w:szCs w:val="24"/>
        </w:rPr>
        <w:t>: eine Stunde mit hohen induktiven Anteilen muss durch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die LK in der Zwischensicherung auf korrekte/zielführende Vorüberlegungen hin moderiert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 xml:space="preserve">werden. Die LK </w:t>
      </w:r>
      <w:r w:rsidRPr="0010048F">
        <w:rPr>
          <w:rFonts w:ascii="Arial" w:hAnsi="Arial" w:cs="Arial"/>
          <w:b/>
          <w:bCs/>
          <w:sz w:val="24"/>
          <w:szCs w:val="24"/>
        </w:rPr>
        <w:t>muss mögliche Beispiele antizipieren</w:t>
      </w:r>
      <w:r w:rsidRPr="0010048F">
        <w:rPr>
          <w:rFonts w:ascii="Arial" w:hAnsi="Arial" w:cs="Arial"/>
          <w:sz w:val="24"/>
          <w:szCs w:val="24"/>
        </w:rPr>
        <w:t xml:space="preserve"> und eventuell durch das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Lernarrangement im Vorfeld „lenken“ bzw. vor Unfällen schützen.</w:t>
      </w:r>
      <w:r>
        <w:rPr>
          <w:rFonts w:ascii="Arial" w:hAnsi="Arial" w:cs="Arial"/>
          <w:sz w:val="24"/>
          <w:szCs w:val="24"/>
        </w:rPr>
        <w:t xml:space="preserve"> Es reicht nicht, wenn nur die </w:t>
      </w:r>
      <w:proofErr w:type="spellStart"/>
      <w:r>
        <w:rPr>
          <w:rFonts w:ascii="Arial" w:hAnsi="Arial" w:cs="Arial"/>
          <w:sz w:val="24"/>
          <w:szCs w:val="24"/>
        </w:rPr>
        <w:t>Lerenden</w:t>
      </w:r>
      <w:proofErr w:type="spellEnd"/>
      <w:r>
        <w:rPr>
          <w:rFonts w:ascii="Arial" w:hAnsi="Arial" w:cs="Arial"/>
          <w:sz w:val="24"/>
          <w:szCs w:val="24"/>
        </w:rPr>
        <w:t xml:space="preserve"> ihre Ideen äußern (LK muss Ergebnisse antizipiert haben und auf ein Mindestmaß hinarbeiten!)</w:t>
      </w:r>
    </w:p>
    <w:p w14:paraId="5816E4EB" w14:textId="77777777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Es gibt keine „komplett“ ergebnisoffenen Stunden! Ergebnisoffen können eventuell</w:t>
      </w:r>
    </w:p>
    <w:p w14:paraId="48633F5E" w14:textId="1A7309A9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unterschiedliche qualitative und quantitative Ausprägungen oder Beispiele sein: Im Spiel z.B.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Nutzung unterschiedlich schwieriger Individualtaktiken (Lauf-, Wurffinten), die aber im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vorherigen Unterricht thematisiert wurden, um eine Gruppentaktik zu entwickeln.</w:t>
      </w:r>
    </w:p>
    <w:p w14:paraId="0782E88C" w14:textId="77777777" w:rsidR="0010048F" w:rsidRDefault="0010048F" w:rsidP="0010048F">
      <w:pPr>
        <w:pStyle w:val="p1"/>
        <w:rPr>
          <w:rFonts w:ascii="Arial" w:hAnsi="Arial" w:cs="Arial"/>
          <w:b/>
          <w:bCs/>
          <w:sz w:val="24"/>
          <w:szCs w:val="24"/>
        </w:rPr>
      </w:pPr>
    </w:p>
    <w:p w14:paraId="0F4F8C4F" w14:textId="19BE4CF8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b/>
          <w:bCs/>
          <w:sz w:val="24"/>
          <w:szCs w:val="24"/>
        </w:rPr>
        <w:t>Kriterien, Indikatoren, fachlich fundierter Input sind ein Garant für einen qualitativ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b/>
          <w:bCs/>
          <w:sz w:val="24"/>
          <w:szCs w:val="24"/>
        </w:rPr>
        <w:t>hochwertigen Unterricht.</w:t>
      </w:r>
    </w:p>
    <w:p w14:paraId="2D7A9B10" w14:textId="2EAE3052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Bei tänzerischen Bewegungen gilt dasselbe: es gibt eine Masse an Beispielen, die selbst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gestaltet werden können (hier können nicht alle Beispiele antizipiert werden). Allerdings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muss eine Kategorisierung/Zuordnung nach Kriterien und Indikatoren immer möglich sein.</w:t>
      </w:r>
    </w:p>
    <w:p w14:paraId="52186F28" w14:textId="59B32A47" w:rsidR="0010048F" w:rsidRPr="0010048F" w:rsidRDefault="0010048F" w:rsidP="0010048F">
      <w:pPr>
        <w:pStyle w:val="p1"/>
        <w:rPr>
          <w:rFonts w:ascii="Arial" w:hAnsi="Arial" w:cs="Arial"/>
          <w:sz w:val="24"/>
          <w:szCs w:val="24"/>
        </w:rPr>
      </w:pPr>
      <w:r w:rsidRPr="0010048F">
        <w:rPr>
          <w:rFonts w:ascii="Arial" w:hAnsi="Arial" w:cs="Arial"/>
          <w:sz w:val="24"/>
          <w:szCs w:val="24"/>
        </w:rPr>
        <w:t>Das ist unser Job als Lehrkraft - die Ergebnisse nicht nur zu sammeln, sondern auf einer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höheren Ebene zu bündeln, zu ordnen und zu bewerten und dadurch junge Menschen</w:t>
      </w:r>
      <w:r>
        <w:rPr>
          <w:rFonts w:ascii="Arial" w:hAnsi="Arial" w:cs="Arial"/>
          <w:sz w:val="24"/>
          <w:szCs w:val="24"/>
        </w:rPr>
        <w:t xml:space="preserve"> </w:t>
      </w:r>
      <w:r w:rsidRPr="0010048F">
        <w:rPr>
          <w:rFonts w:ascii="Arial" w:hAnsi="Arial" w:cs="Arial"/>
          <w:sz w:val="24"/>
          <w:szCs w:val="24"/>
        </w:rPr>
        <w:t>kritikfähig, handlungsfähig und lösungsorientiert zu erziehen.</w:t>
      </w:r>
    </w:p>
    <w:p w14:paraId="029BB9FC" w14:textId="77777777" w:rsidR="00B427A2" w:rsidRPr="0010048F" w:rsidRDefault="00B427A2" w:rsidP="0010048F">
      <w:pPr>
        <w:jc w:val="both"/>
        <w:rPr>
          <w:rFonts w:ascii="Arial" w:hAnsi="Arial" w:cs="Arial"/>
          <w:sz w:val="24"/>
        </w:rPr>
      </w:pPr>
    </w:p>
    <w:sectPr w:rsidR="00B427A2" w:rsidRPr="0010048F" w:rsidSect="00C5186E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F"/>
    <w:rsid w:val="00072114"/>
    <w:rsid w:val="0010048F"/>
    <w:rsid w:val="00703AC6"/>
    <w:rsid w:val="007615C9"/>
    <w:rsid w:val="009D7CF5"/>
    <w:rsid w:val="00B427A2"/>
    <w:rsid w:val="00C5186E"/>
    <w:rsid w:val="00E84F42"/>
    <w:rsid w:val="00FB4910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7AF0A"/>
  <w14:defaultImageDpi w14:val="32767"/>
  <w15:chartTrackingRefBased/>
  <w15:docId w15:val="{1FF865E3-B423-A643-9874-E56EFD7C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elvetic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0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0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4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4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4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4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048F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048F"/>
    <w:rPr>
      <w:rFonts w:eastAsiaTheme="majorEastAsia" w:cstheme="majorBidi"/>
      <w:color w:val="2F5496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48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48F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48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48F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100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4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48F"/>
    <w:rPr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1004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48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48F"/>
    <w:rPr>
      <w:i/>
      <w:iCs/>
      <w:color w:val="2F5496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10048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10048F"/>
    <w:rPr>
      <w:rFonts w:ascii="Calibri" w:eastAsia="Times New Roman" w:hAnsi="Calibri" w:cs="Calibri"/>
      <w:color w:val="000000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Bartelds</dc:creator>
  <cp:keywords/>
  <dc:description/>
  <cp:lastModifiedBy>Andrea Bartelds</cp:lastModifiedBy>
  <cp:revision>1</cp:revision>
  <dcterms:created xsi:type="dcterms:W3CDTF">2025-03-10T11:14:00Z</dcterms:created>
  <dcterms:modified xsi:type="dcterms:W3CDTF">2025-03-10T11:23:00Z</dcterms:modified>
</cp:coreProperties>
</file>